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A5DA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A5DAD" w:rsidRDefault="004C0893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A5DAD" w:rsidRDefault="004C0893">
            <w:pPr>
              <w:spacing w:after="0" w:line="240" w:lineRule="auto"/>
            </w:pPr>
            <w:r>
              <w:t>17290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A5DAD" w:rsidRDefault="004C089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A5DAD" w:rsidRDefault="004C0893">
            <w:pPr>
              <w:spacing w:after="0" w:line="240" w:lineRule="auto"/>
            </w:pPr>
            <w:r>
              <w:t>ŠKOLA ZA TRGOVINU I MODNI DIZAJN RIJEKA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A5DAD" w:rsidRDefault="004C089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A5DAD" w:rsidRDefault="004C0893">
            <w:pPr>
              <w:spacing w:after="0" w:line="240" w:lineRule="auto"/>
            </w:pPr>
            <w:r>
              <w:t>31</w:t>
            </w:r>
          </w:p>
        </w:tc>
      </w:tr>
    </w:tbl>
    <w:p w:rsidR="001A5DAD" w:rsidRDefault="004C0893">
      <w:r>
        <w:br/>
      </w:r>
    </w:p>
    <w:p w:rsidR="001A5DAD" w:rsidRDefault="004C089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A5DAD" w:rsidRDefault="004C0893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A5DAD" w:rsidRDefault="004C0893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1.011.918,70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1.115.088,16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110,2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1.012.288,22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1.183.552,64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116,9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1A5D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369,52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68.464,48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25,0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8.772,27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5.500,65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62,7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1A5D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8.668,71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5.474,76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63,2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1A5D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1A5D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9.038,23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73.939,24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818,1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Škola za trgovinu i modni dizajn Rijeka je srednjoškolska ustanova registrirana za odgoj i obrazovanje kadrova u području ekonomije i trgovine, tekstila i odjeće te likovne umjetnosti i dizajna. Osnivač Škole je Primorsko-goranska županija te je Škola kori</w:t>
      </w:r>
      <w:r>
        <w:t>snik Županijskog proračuna.</w:t>
      </w:r>
    </w:p>
    <w:p w:rsidR="001A5DAD" w:rsidRDefault="004C0893">
      <w:pPr>
        <w:jc w:val="both"/>
      </w:pPr>
      <w:r>
        <w:lastRenderedPageBreak/>
        <w:t>U skladu s odredbama Novog Pravilnika o proračunskom računovodstvu i Računskom planu objavljenom u prosincu 2023. godine, u Narodnim novinama broj 158/23. i Pravilnika o izmjenama i dopunama Pravilnika o proračunskom računovodst</w:t>
      </w:r>
      <w:r>
        <w:t>vu i Računskom planu objavljenom u prosincu 2024. godine, u Narodnim novinama broj 154/24. te  Pravilnik o izmjenama i dopunama Pravilnika o financijskom izvještavanju u proračunskom računovodstvu objavljenom u prosincu 2025. godine, u Narodnim novinama br</w:t>
      </w:r>
      <w:r>
        <w:t>oj 156/25. i Okružnice o sastavljanju, konsolidaciji i predaji financijskih izvještaja proračuna, proračunskih i izvanproračunskih korisnika državnog proračuna te proračunskih i izvanproračunskih korisnika proračuna jedinica lokalne i područne (regionalne)</w:t>
      </w:r>
      <w:r>
        <w:t xml:space="preserve"> samouprave za razdoblje od 1. siječnja do 31. prosinca 2025. i druge aktualnosti Ministarstva financija (KLASA: 400-02/25-01/14, URBROJ: 513-17-01-26-5, Zagreb, 16. siječnja 2026.) sastavljen je Financijski izvještaj za razdoblje siječanj-prosinac 2025. k</w:t>
      </w:r>
      <w:r>
        <w:t>oji se sastoji od obrazaca BILANCA, PR-RAS, RAS-funkcijski, P-VRIO, OBVEZE, EU izvještaj i ovih Bilješki. </w:t>
      </w:r>
    </w:p>
    <w:p w:rsidR="001A5DAD" w:rsidRDefault="004C0893">
      <w:r>
        <w:br/>
      </w:r>
    </w:p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1.011.918,70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1.115.088,16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110,2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U izvještajnom razdoblju siječanj-prosinac 2025. ostvareni su veći prihodi poslovanja u odnosu na izvještajno razdoblje prethodne godine.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892.991,71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983.261,19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</w:tbl>
    <w:p w:rsidR="001A5DAD" w:rsidRDefault="001A5DAD">
      <w:pPr>
        <w:spacing w:after="0"/>
      </w:pPr>
    </w:p>
    <w:p w:rsidR="001A5DAD" w:rsidRDefault="004C0893">
      <w:r>
        <w:t>Tekuće pomoći proračunskim korisnicima iz proračuna koji im nije nadležan ostvareni su veći prihodi i primici u odnosu na ostvarenje siječanj-prosinac u prethodnoj godini.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Kapitalne pomoći proračunskim korisnicima iz proračuna koji im nije nadležan nisu ostvareni prihodi i primici u odnosu na ostvarenje siječanj-prosinac u prethodnoj godini kad su bili ostvareni.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25.630,20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3.552,29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13,9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Prihodi od tekućih pomoći temeljem prijenosa EU sredstava se za razdoblje siječanj-prosinac 2025. godine iskazuju u izvještajnom razdoblju u kojem su naplaćeni u odnosu na prethodnu godinu kad su se prihodi priznavali na temelju doznačenih sredstava.</w:t>
      </w:r>
    </w:p>
    <w:p w:rsidR="001A5DAD" w:rsidRDefault="004C0893">
      <w:r>
        <w:br/>
        <w:t> </w:t>
      </w:r>
      <w:r>
        <w:br/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197,8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Kamate na oročena sredstva i depozite po viđenju su gotovo dvostruko više u izvještajnom razdoblju siječanj-prosinac 2025. zbog višeg iznosa stanja na vlastitom računu u odnosu na prethodno razdoblje.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3.288,95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7.702,33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234,2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Ostali nespomenuti prihodi su znatno povećani u izvještajnom razdoblju siječanj-prosinac 2025. u odnosu na prethodno razdoblje, a odnose se na isplatu štete od strane osiguranja.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249,6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Prihodi od prodaje proizvoda i robe veći su u odnosu na prethodno razdoblje prošle godine, jer je Učenička zadruga Potok radi sve većeg angažmana djece u zadruzi ostvarila veće prihode.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1.012.288,22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1.183.552,64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116,9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U izvještajnom razdoblju siječanj-prosinac 2025. ostvareni su veći rashodi poslovanja u odnosu na izvještajno razdoblje prethodne godine.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734.378,75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874.561,24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Plaće za redovan rad veće su u odnosu na izvještajno razdoblje prethodne godinu radi rasta plaća u državnim i javnim službama.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>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6.633,48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8.241,87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124,2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Službena putovanja veća su u odnosu na izvještajno razdoblje prethodne godine, jer je bilo više službenih putovanja naspram istog razdoblja prethodne godine.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5.393,32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7.814,06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144,9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Uredski materijal i ostali materijalni rashodi su veći u odnosu na izvještajno razdoblje prethodne godine, jer je bila veća potreba za uredskim materijalom u odnosu na isto razdoblje prethodne godine.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1.581,75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3.873,92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244,9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Za intelektualne i osobne usluge je u izvještajnom razdoblju ove godine potrošeno puno više u odnosu na isto razdoblje prošle godine zbog povećane potrebe škole za odvjetničkim uslugama i uslugama nužnih vještačenja.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2.775,64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164,2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Za ostale usluge je u razdoblju ove godine potrošeno više u odnosu na razdoblje prošle godine, jer su se kroz ostale usluge platile usluge za potrebe odvijanja Programa školskog kurikuluma za 2025. godinu.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160,8</w:t>
            </w:r>
          </w:p>
        </w:tc>
      </w:tr>
    </w:tbl>
    <w:p w:rsidR="001A5DAD" w:rsidRDefault="001A5DAD">
      <w:pPr>
        <w:spacing w:after="0"/>
      </w:pPr>
    </w:p>
    <w:p w:rsidR="001A5DAD" w:rsidRDefault="004C0893">
      <w:r>
        <w:t>Za reprezentaciju je potrošeno više u odnosu na isto razdoblje prethodne godine s obzirom da se u Školi održavalo županijsko i međužupanijsko natjecanje.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218,0</w:t>
            </w:r>
          </w:p>
        </w:tc>
      </w:tr>
    </w:tbl>
    <w:p w:rsidR="001A5DAD" w:rsidRDefault="001A5DAD">
      <w:pPr>
        <w:spacing w:after="0"/>
      </w:pPr>
    </w:p>
    <w:p w:rsidR="001A5DAD" w:rsidRDefault="004C0893">
      <w:r>
        <w:t>Škola je platila više zateznih kamata u odnosu na izvještajno razdoblje prethodne godine.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25,0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U ovom izvještajnom razdoblju ostvareni su manji prihodi od prodaje nefinancijske imovine u odnosu na izvještajno razdoblje prethodne godine.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8.772,27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5.500,65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62,7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U ovom izvještajnom razdoblju ostvareni su manji rashodi za nabavu nefinancijske imovine u odnosu na izvještajno razdoblje prethodne godine.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1A5D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9.038,23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73.939,24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818,1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 xml:space="preserve">U izvještajnom razdoblju siječanj-prosinac 2025. godine ostvaren je ukupan manjak prihoda u iznosu od 73.939,24 eura s obzirom da se s danom 1. siječnja 2025. ukinula podskupina računa 193 Kontinuirani rashodi budućih razdoblja što je dovelo do toga da su </w:t>
      </w:r>
      <w:r>
        <w:t>u izvještajnom razdoblju siječanj-prosinac 2025. plaća i materijalna prava za prosinac 2025. prikazana kao rashod, a ne kao u prijašnjem izvještajnom razdoblju kad su se plaća i materijalna prava za prosinac prikazivala kao kontinuirani rashodi budućih raz</w:t>
      </w:r>
      <w:r>
        <w:t>doblja što je dovelo do toga da u ovom izvještajnom razdoblju imamo prikazan rashod za plaću i materijalna prava za prosinac 2025., a priznavanje prihoda za plaću i materijalna prava za prosinac 2025. će biti u izvještajnom razdoblju za 2026. godinu.</w:t>
      </w:r>
    </w:p>
    <w:p w:rsidR="001A5DAD" w:rsidRDefault="004C0893">
      <w:pPr>
        <w:jc w:val="both"/>
      </w:pPr>
      <w:r>
        <w:t> 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</w:t>
      </w:r>
      <w:r>
        <w:rPr>
          <w:sz w:val="28"/>
        </w:rPr>
        <w:t>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- preneseni (šifre 92221+92222-92211-92212)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MP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3.786,83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Manjak prihoda - preneseni u ovom izvještajnom razdoblju iznosi 3.786,83 eura i odnosi se na 593,27 eura preneseni manjak prethodne godine i 3.193,56 eura manjka zbog ispravka rezultata poslovanja u 2025. godini za 2024. godinu. Ispravak rezultata poslovan</w:t>
      </w:r>
      <w:r>
        <w:t>ja se odnosi na ispravke vezane uz prenesena sredstava za EU projekte na temelju uputa iz Okružnice o sastavljanju, konsolidaciji i predaji financijskih izvještaja proračuna, proračunskih i izvanproračunskih korisnika državnog proračuna te proračunskih i i</w:t>
      </w:r>
      <w:r>
        <w:t>zvanproračunskih korisnika proračuna jedinica lokalne i područne (regionalne) samouprave za razdoblje od 1. siječnja do 31. prosinca 2025. i drugih aktualnosti.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</w:t>
            </w:r>
            <w:r>
              <w:rPr>
                <w:b/>
                <w:sz w:val="18"/>
              </w:rPr>
              <w:t>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74.278,41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72.501,03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97,6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Stanje na računu Knjige je manje zbog povećanog ispravka vrijednosti knjiga u odnosu na prethodnu godinu.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12.111,30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46.726,79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385,8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Stanje na računu kod tuzemnih poslovnih banaka je na 31.12.2025. znatno veće u odnosu na 31.12.2024.. jer je Škola u 2025. godini dobila sredstva u iznosu od 34.520,00 eura za Erasmus projekt u školskoj godini 2025./2026.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2.029,22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5.840,52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287,8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 xml:space="preserve">U svrhu praćenja potraživanja za dane predujmove i obveza za primljene predujmove za EU projekte, u Računskom planu otvoreni su odjeljci i pripadajući osnovni računi potraživanja 1295 i obveza 2752. U obrascu BIL, dodatni analitički podaci prošireni su za </w:t>
      </w:r>
      <w:r>
        <w:t>unos analitičkih podataka za potraživanja i obveze za dane i primljene predujmove za EU projekte.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</w:t>
            </w:r>
            <w:r>
              <w:rPr>
                <w:sz w:val="18"/>
              </w:rPr>
              <w:t xml:space="preserve">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84.237,26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lastRenderedPageBreak/>
        <w:t>Potraživanja za pomoći proračunskim korisnicima iz proračuna koji im nije nadležan se odnose na potraživanja za plaću i materijalna prava za prosinac 2025. godine.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204,5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Potraživanja za prihode od prodaje proizvoda i robe te pruženih usluga i za povrat po protestiranim jamstvima se odnose na potraživanja od zakupa sportske dvorane za prosinac 2025. godine.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</w:t>
            </w:r>
            <w:r>
              <w:rPr>
                <w:b/>
                <w:sz w:val="18"/>
              </w:rPr>
              <w:t>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74.801,24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U prijelaznim i završnim odredbama Pravilnika o proračunskom računovodstvu i Računskom planu, u članku 233. propisano je da se s danom 1. siječnja 2025. ukida podskupina računa 193 Kontinuirani rashodi budućih razdoblja. Kontinuirani rashodi budućih razdob</w:t>
      </w:r>
      <w:r>
        <w:t>lja slijedom navedenog zatvoreni su odobrenjem odgovarajućih osnovnih računa podskupine 193 te preneseni na rashode zaduženjem odgovarajućih osnovnih računa razreda 3 Rashodi poslovanja. Podskupina 193 koja je ukinuta s danom 1. siječnja 2025. više se ne k</w:t>
      </w:r>
      <w:r>
        <w:t>oristiti za evidentiranje kontinuiranih rashoda u 2025. i nadalje. Na temelju navedenog popunjen je podatak o stanju kontinuiranih rashoda na dan 1. siječnja 2025.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2.213,64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41.041,51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1854,0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Iz odjeljka 2395 Ostale nespomenute obveze iz prethodno važećeg Računskog plana preneseni su osnovni računi za praćenje predujmova, depozita, jamčevnih pologa i tuđih prihoda u novu skupinu računa 27 Obveze za predujmove, depozite, jamčevne pologe i tuđe p</w:t>
      </w:r>
      <w:r>
        <w:t xml:space="preserve">rihode U okviru odjeljka 2395 ostao je samo jedan osnovni račun i to 23954 Ostale </w:t>
      </w:r>
      <w:r>
        <w:lastRenderedPageBreak/>
        <w:t>nespomenute obveze. Slijedom navedene izmjene u Računskom planu, izmijenjen je i obrazac BIL odnosno dodana je nova skupina 27 za iskazivanje stanja pripadajućih osnovnih rač</w:t>
      </w:r>
      <w:r>
        <w:t xml:space="preserve">una obveza. Kod popunjavanja obrasca BIL u oba stupca podataka („Stanje 1. siječnja“ i „Stanje 31. prosinca“) u okviru podskupine 239 bit će iskazano samo stanje osnovnog računa 23954 Ostale nespomenute obveze, dok će se u okviru skupine 27 iskazat stanje </w:t>
      </w:r>
      <w:r>
        <w:t>svih pripadajućih osnovnih računa iz skupne 27.</w:t>
      </w:r>
    </w:p>
    <w:p w:rsidR="001A5DAD" w:rsidRDefault="004C0893">
      <w:pPr>
        <w:jc w:val="both"/>
      </w:pPr>
      <w:r>
        <w:t>U svrhu praćenja potraživanja za dane predujmove i obveza za primljene predujmove za EU projekte, u Računskom planu otvoreni su odjeljci i pripadajući osnovni računi potraživanja 1295 i obveza 2752. U obrascu</w:t>
      </w:r>
      <w:r>
        <w:t xml:space="preserve"> BIL, dodatni analitički podaci prošireni su za unos analitičkih podataka za potraživanja i obveze za dane i primljene predujmove za EU projekte.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88.594,46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6713,2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U obrascu BIL koji se predavao zaključno za 2024., stanje obračunatih prihoda poslovanja (skupina 96) iskazivalo se na drugoj razini odnosno na razini skupine u oba stupca podataka odnosno stanje na 1. siječnja i stanje 31. prosinca. Izmjenom obrasca BIL k</w:t>
      </w:r>
      <w:r>
        <w:t>oji se predaje od izvještajnog razdoblja od 1. siječnja do 31. prosinca 2025., stanja u okviru skupine 96 iskazuje se na nižim razinama, tj. razini podskupine i odjeljka.</w:t>
      </w:r>
    </w:p>
    <w:p w:rsidR="001A5DAD" w:rsidRDefault="004C0893">
      <w:pPr>
        <w:jc w:val="both"/>
      </w:pPr>
      <w:r>
        <w:t> 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</w:t>
            </w:r>
            <w:r>
              <w:rPr>
                <w:b/>
                <w:sz w:val="18"/>
              </w:rPr>
              <w:t>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87.004,75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U obveznim analitičkim podacima u obrascu BIL dodani su osnovni računi za praćenje izvanbilančnih zapisa. U stupcu „Stanje 1. siječnja“ popunjeni su podaci samo na onim osnovnim računima koji su korišteni za evidentiranje izvanbilančnih zapisa do kraja 202</w:t>
      </w:r>
      <w:r>
        <w:t>4. dok su u stupcu „Stanje 31. prosinca“ popunjeni podaci evidentirani na svim izvanbilančnim zapisima. 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 srednjoškolsko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1.021.060,49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1.189.053,29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Više srednjoškolsko obrazovanje - stavka se odnosi na ukupne rashode poslovanja za nabavu nefinancijske imovine u 2025. godini.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9.890,63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39.780,44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402,2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Promjene na imovini i obvezama iskazuju se preko podskupine 915 Promjene u vrijednosti i obujmu imovine i obveza koja na kraju godine ne može imati iskazan saldo. S obzirom na to da na dan 31. prosinca podskupina 915 nema iskazan saldo, promjene nastale na</w:t>
      </w:r>
      <w:r>
        <w:t xml:space="preserve"> imovini i obvezama u proračunskoj godini iskazuju se kroz obrazac P-VRIO.</w:t>
      </w:r>
    </w:p>
    <w:p w:rsidR="001A5DAD" w:rsidRDefault="004C0893">
      <w:r>
        <w:t> 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1A5D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39.780,44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Proizvedena dugotrajna imovina - iskazano je smanjenje koje se odnosi na obračun amortizacije.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1A5D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9.890,63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A5DAD" w:rsidRDefault="001A5DAD">
      <w:pPr>
        <w:spacing w:after="0"/>
      </w:pPr>
    </w:p>
    <w:p w:rsidR="001A5DAD" w:rsidRDefault="004C0893">
      <w:r>
        <w:t>Proizvedena dugotrajna imovina - iskazano je povećanje koje se odnosi na nabavu školskog namještaja od strane PGŽ.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A5D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DA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1A5DA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</w:t>
            </w:r>
            <w:r>
              <w:rPr>
                <w:sz w:val="18"/>
              </w:rPr>
              <w:t>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41.041,51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A5DAD" w:rsidRDefault="004C089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A5DAD" w:rsidRDefault="001A5DAD">
      <w:pPr>
        <w:spacing w:after="0"/>
      </w:pPr>
    </w:p>
    <w:p w:rsidR="001A5DAD" w:rsidRDefault="004C0893">
      <w:pPr>
        <w:jc w:val="both"/>
      </w:pPr>
      <w:r>
        <w:t>Stanje dospjelih obveza na kraju izvještajnog razdoblja od 1. siječnja do 31. prosinca 2025. godine odnosi se na obveze za EU predujmove i Obveze proračunskih korisnika za povrat u proračun.</w:t>
      </w:r>
    </w:p>
    <w:p w:rsidR="001A5DAD" w:rsidRDefault="001A5DAD"/>
    <w:p w:rsidR="001A5DAD" w:rsidRDefault="004C0893">
      <w:pPr>
        <w:keepNext/>
        <w:spacing w:line="240" w:lineRule="auto"/>
        <w:jc w:val="center"/>
      </w:pPr>
      <w:r>
        <w:rPr>
          <w:sz w:val="28"/>
        </w:rPr>
        <w:t>Bilješka 35.</w:t>
      </w:r>
    </w:p>
    <w:p w:rsidR="001A5DAD" w:rsidRDefault="004C0893">
      <w:pPr>
        <w:spacing w:line="240" w:lineRule="auto"/>
        <w:jc w:val="both"/>
      </w:pPr>
      <w:r>
        <w:rPr>
          <w:b/>
        </w:rPr>
        <w:t>EU izvještaj</w:t>
      </w:r>
    </w:p>
    <w:p w:rsidR="001A5DAD" w:rsidRDefault="004C0893">
      <w:pPr>
        <w:jc w:val="both"/>
      </w:pPr>
      <w:r>
        <w:t>Obrazac EU izvještaj je novi financijs</w:t>
      </w:r>
      <w:r>
        <w:t>ki izvještaj o EU sredstvima kojeg u sklopu financijskog izvještavanja u proračunskom računovodstvu uvodi Pravilnik o izmjenama i dopunama Pravilnika o financijskom izvještavanju u proračunskom računovodstvu, predstavlja analitički financijski izvještaj ko</w:t>
      </w:r>
      <w:r>
        <w:t>ji će se podnositi za programsko razdoblje 2021. – 2027., počevši od financijskog izvještavanja za razdoblje od 1. siječnja do 31. prosinca 2025.</w:t>
      </w:r>
    </w:p>
    <w:p w:rsidR="001A5DAD" w:rsidRDefault="001A5DAD"/>
    <w:sectPr w:rsidR="001A5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AD"/>
    <w:rsid w:val="001A5DAD"/>
    <w:rsid w:val="004C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2874</Words>
  <Characters>16386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ZLR</Company>
  <LinksUpToDate>false</LinksUpToDate>
  <CharactersWithSpaces>19222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druzic</dc:creator>
  <cp:lastModifiedBy>Damir Ruzic</cp:lastModifiedBy>
  <cp:revision>2</cp:revision>
  <dcterms:created xsi:type="dcterms:W3CDTF">2026-02-03T21:41:00Z</dcterms:created>
  <dcterms:modified xsi:type="dcterms:W3CDTF">2026-02-03T21:41:00Z</dcterms:modified>
</cp:coreProperties>
</file>